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11 листопада 2016 року</w:t>
        <w:tab/>
        <w:tab/>
        <w:tab/>
        <w:tab/>
        <w:t xml:space="preserve">№ 731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матеріальних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цінностей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З метою ефективного використання державного майна, відповідно до Положення про порядок передачі об’єктів права державної власності, затвердженого постановою Кабінету Міністрів України від 21 вересня 1998 року №1482: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Передати матеріальні цінності з балансу районної державної адміністрації на баланс служби у справах дітей районної державної адміністрації згідно з додатком.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Комісії із списання майна районної державної адміністрації здійснити передачу обладнання згідно з нормами чинного законодавства.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Контроль за виконанням розпорядження покласти на керівника апарату районної державної адміністрації Ю.В. Четирбука.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</w:t>
        <w:tab/>
        <w:tab/>
        <w:t xml:space="preserve">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1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1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1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1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11 листопада 2016 року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1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 731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13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Перелік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Матеріальних цінностей, що передаються з балансу районної державної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адміністрації на баланс служби у справах дітей райдержадміністрації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21.0" w:type="dxa"/>
        <w:jc w:val="left"/>
        <w:tblInd w:w="-25.0" w:type="dxa"/>
        <w:tblLayout w:type="fixed"/>
        <w:tblLook w:val="0000"/>
      </w:tblPr>
      <w:tblGrid>
        <w:gridCol w:w="648"/>
        <w:gridCol w:w="4860"/>
        <w:gridCol w:w="1080"/>
        <w:gridCol w:w="3033"/>
        <w:tblGridChange w:id="0">
          <w:tblGrid>
            <w:gridCol w:w="648"/>
            <w:gridCol w:w="4860"/>
            <w:gridCol w:w="1080"/>
            <w:gridCol w:w="3033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№ з/п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Назва матеріальних цінностей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К-ть</w:t>
            </w:r>
          </w:p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(шт.)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Сума (грн.)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Автомобільні шини зимові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454,00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Автомобільні шини зимові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502,98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Всього: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956,98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</w:t>
        <w:tab/>
        <w:tab/>
        <w:tab/>
        <w:tab/>
        <w:tab/>
        <w:tab/>
        <w:tab/>
        <w:tab/>
        <w:t xml:space="preserve">Ю.В. 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